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9C" w:rsidRPr="004E1CFE" w:rsidRDefault="00787ADD" w:rsidP="00B2199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<v:textbox>
              <w:txbxContent>
                <w:p w:rsidR="00B2199C" w:rsidRDefault="00B2199C" w:rsidP="00B2199C">
                  <w:pPr>
                    <w:rPr>
                      <w:szCs w:val="28"/>
                    </w:rPr>
                  </w:pPr>
                </w:p>
                <w:p w:rsidR="00B2199C" w:rsidRDefault="00B2199C" w:rsidP="00B2199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2199C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9C" w:rsidRPr="004E1CFE" w:rsidRDefault="00B2199C" w:rsidP="00B219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199C" w:rsidRPr="004E1CFE" w:rsidRDefault="00B2199C" w:rsidP="00B2199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:rsidR="00B2199C" w:rsidRPr="004E1CFE" w:rsidRDefault="00B2199C" w:rsidP="00B2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B2199C" w:rsidRPr="004E1CFE" w:rsidRDefault="00B2199C" w:rsidP="00B2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B2199C" w:rsidRPr="009A052C" w:rsidRDefault="00B2199C" w:rsidP="00B2199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199C" w:rsidRPr="004E1CFE" w:rsidRDefault="00B2199C" w:rsidP="00B21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7D0450">
        <w:rPr>
          <w:rFonts w:ascii="Times New Roman" w:hAnsi="Times New Roman" w:cs="Times New Roman"/>
          <w:b/>
          <w:sz w:val="28"/>
          <w:szCs w:val="28"/>
        </w:rPr>
        <w:t>Е</w:t>
      </w:r>
    </w:p>
    <w:p w:rsidR="009A052C" w:rsidRPr="009A052C" w:rsidRDefault="009A052C" w:rsidP="0004308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2199C" w:rsidRDefault="00B2199C" w:rsidP="000430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9A052C">
        <w:rPr>
          <w:rFonts w:ascii="Times New Roman" w:hAnsi="Times New Roman" w:cs="Times New Roman"/>
          <w:b/>
          <w:bCs/>
          <w:sz w:val="28"/>
          <w:szCs w:val="28"/>
        </w:rPr>
        <w:t xml:space="preserve"> 06 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4308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A05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</w:t>
      </w:r>
      <w:r w:rsidR="00461872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4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A05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7D0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1356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D04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52C">
        <w:rPr>
          <w:rFonts w:ascii="Times New Roman" w:hAnsi="Times New Roman" w:cs="Times New Roman"/>
          <w:b/>
          <w:bCs/>
          <w:sz w:val="28"/>
          <w:szCs w:val="28"/>
        </w:rPr>
        <w:t xml:space="preserve"> 88</w:t>
      </w:r>
    </w:p>
    <w:p w:rsidR="00B2199C" w:rsidRPr="004E1CFE" w:rsidRDefault="00B2199C" w:rsidP="00B219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0A0"/>
      </w:tblPr>
      <w:tblGrid>
        <w:gridCol w:w="7355"/>
      </w:tblGrid>
      <w:tr w:rsidR="009A052C" w:rsidRPr="00237181" w:rsidTr="009A052C">
        <w:trPr>
          <w:trHeight w:val="758"/>
        </w:trPr>
        <w:tc>
          <w:tcPr>
            <w:tcW w:w="7355" w:type="dxa"/>
          </w:tcPr>
          <w:p w:rsidR="009A052C" w:rsidRPr="00237181" w:rsidRDefault="009A052C" w:rsidP="009A05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формирования, 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и обязательного опубликования перечня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  находящегося в собственности 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лховского муниципального района </w:t>
            </w:r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и свободного от прав третьих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(за исключением права хозяйственного ведения, 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оперативного управления, а также имущественных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субъектов малого и 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предпринимательства), предназначенного для предоставления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во владение и (или) в пользование на долгосрочной основе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субъектам малого и среднего предпринимательства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организациям, образующим</w:t>
            </w:r>
            <w:proofErr w:type="gramEnd"/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инфраструктуру поддержки субъектов малого и среднего предпринимательства, </w:t>
            </w:r>
            <w:proofErr w:type="gramStart"/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3086">
              <w:rPr>
                <w:rFonts w:ascii="Times New Roman" w:hAnsi="Times New Roman" w:cs="Times New Roman"/>
                <w:b/>
                <w:sz w:val="24"/>
                <w:szCs w:val="24"/>
              </w:rPr>
              <w:t>и условиях предоставления в аренду включенного в указанный перечень имущества» в новой редакции</w:t>
            </w:r>
          </w:p>
        </w:tc>
      </w:tr>
    </w:tbl>
    <w:p w:rsidR="00043086" w:rsidRPr="00043086" w:rsidRDefault="00043086" w:rsidP="0004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99C" w:rsidRPr="00437A66" w:rsidRDefault="00043086" w:rsidP="00043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086"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5" w:history="1">
        <w:r w:rsidRPr="000430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3086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постановлением правительства Ленинградской области от 11декабря 2008 года № 391 «О порядке  формирования, ведения и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Pr="00043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086">
        <w:rPr>
          <w:rFonts w:ascii="Times New Roman" w:hAnsi="Times New Roman" w:cs="Times New Roman"/>
          <w:sz w:val="28"/>
          <w:szCs w:val="28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имущества», постановлением правительства Ленинградской области от 12.12.2018 года № 478 «О внесении изменений в постановление Правительства Ленинградской области от 11 декабря 2008 года № 391»,</w:t>
      </w:r>
      <w:r>
        <w:rPr>
          <w:sz w:val="28"/>
          <w:szCs w:val="28"/>
        </w:rPr>
        <w:t xml:space="preserve"> </w:t>
      </w:r>
      <w:r w:rsidR="00B2199C" w:rsidRPr="00437A66">
        <w:rPr>
          <w:rFonts w:ascii="Times New Roman" w:hAnsi="Times New Roman" w:cs="Times New Roman"/>
          <w:sz w:val="28"/>
          <w:szCs w:val="28"/>
        </w:rPr>
        <w:t>ст. 13 Порядка</w:t>
      </w:r>
      <w:proofErr w:type="gramEnd"/>
      <w:r w:rsidR="00B2199C" w:rsidRPr="00437A66">
        <w:rPr>
          <w:rFonts w:ascii="Times New Roman" w:hAnsi="Times New Roman" w:cs="Times New Roman"/>
          <w:sz w:val="28"/>
          <w:szCs w:val="28"/>
        </w:rPr>
        <w:t xml:space="preserve"> управ</w:t>
      </w:r>
      <w:bookmarkStart w:id="0" w:name="_GoBack"/>
      <w:bookmarkEnd w:id="0"/>
      <w:r w:rsidR="00B2199C" w:rsidRPr="00437A66">
        <w:rPr>
          <w:rFonts w:ascii="Times New Roman" w:hAnsi="Times New Roman" w:cs="Times New Roman"/>
          <w:sz w:val="28"/>
          <w:szCs w:val="28"/>
        </w:rPr>
        <w:t xml:space="preserve">ления и распоряжения муниципальным имуществом Волховского муниципального района Ленинградской области, утвержденного решением Совета депутатов  Волховского муниципального района от 19.11.2015 года № 67, </w:t>
      </w:r>
      <w:r w:rsidR="00FE5108" w:rsidRPr="00FE5108">
        <w:rPr>
          <w:rFonts w:ascii="Times New Roman" w:hAnsi="Times New Roman" w:cs="Times New Roman"/>
          <w:sz w:val="28"/>
          <w:szCs w:val="28"/>
        </w:rPr>
        <w:t>пунктом 19 части 2 статьи 21 Устава  Волховского муниципального района Ленинградской области,</w:t>
      </w:r>
      <w:r w:rsidR="00FE5108" w:rsidRPr="00FE5108">
        <w:rPr>
          <w:sz w:val="28"/>
          <w:szCs w:val="28"/>
        </w:rPr>
        <w:t xml:space="preserve"> </w:t>
      </w:r>
      <w:r w:rsidR="00B2199C" w:rsidRPr="00437A66">
        <w:rPr>
          <w:rFonts w:ascii="Times New Roman" w:hAnsi="Times New Roman" w:cs="Times New Roman"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B2199C" w:rsidRPr="00461872" w:rsidRDefault="00B2199C" w:rsidP="00B2199C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461872" w:rsidRPr="00461872" w:rsidRDefault="00461872" w:rsidP="00B2199C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043086" w:rsidRPr="00043086" w:rsidRDefault="00043086" w:rsidP="0004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6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043086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формирования, ведения и обязательного опубликования перечня муниципального имущества,  находящегося в </w:t>
      </w:r>
      <w:r w:rsidRPr="00043086">
        <w:rPr>
          <w:rFonts w:ascii="Times New Roman" w:hAnsi="Times New Roman" w:cs="Times New Roman"/>
          <w:sz w:val="28"/>
          <w:szCs w:val="28"/>
        </w:rPr>
        <w:lastRenderedPageBreak/>
        <w:t>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043086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</w:t>
      </w:r>
      <w:proofErr w:type="gramStart"/>
      <w:r w:rsidRPr="0004308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43086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включенного в указанный перечень имущества» в новой редакции согласно приложениям 1-3 к настоящему решению.</w:t>
      </w:r>
    </w:p>
    <w:p w:rsidR="00043086" w:rsidRPr="00043086" w:rsidRDefault="00043086" w:rsidP="0004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086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утратившими силу: </w:t>
      </w:r>
    </w:p>
    <w:p w:rsidR="00214299" w:rsidRPr="00214299" w:rsidRDefault="00043086" w:rsidP="00214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99">
        <w:rPr>
          <w:rFonts w:ascii="Times New Roman" w:hAnsi="Times New Roman" w:cs="Times New Roman"/>
          <w:sz w:val="28"/>
          <w:szCs w:val="28"/>
        </w:rPr>
        <w:t xml:space="preserve">- решение Совета депутатов Волховского муниципального района Ленинградской области от </w:t>
      </w:r>
      <w:r w:rsidR="00214299">
        <w:rPr>
          <w:rFonts w:ascii="Times New Roman" w:hAnsi="Times New Roman" w:cs="Times New Roman"/>
          <w:sz w:val="28"/>
          <w:szCs w:val="28"/>
        </w:rPr>
        <w:t>01</w:t>
      </w:r>
      <w:r w:rsidRPr="00214299">
        <w:rPr>
          <w:rFonts w:ascii="Times New Roman" w:hAnsi="Times New Roman" w:cs="Times New Roman"/>
          <w:sz w:val="28"/>
          <w:szCs w:val="28"/>
        </w:rPr>
        <w:t>.</w:t>
      </w:r>
      <w:r w:rsidR="00214299">
        <w:rPr>
          <w:rFonts w:ascii="Times New Roman" w:hAnsi="Times New Roman" w:cs="Times New Roman"/>
          <w:sz w:val="28"/>
          <w:szCs w:val="28"/>
        </w:rPr>
        <w:t>12</w:t>
      </w:r>
      <w:r w:rsidRPr="00214299">
        <w:rPr>
          <w:rFonts w:ascii="Times New Roman" w:hAnsi="Times New Roman" w:cs="Times New Roman"/>
          <w:sz w:val="28"/>
          <w:szCs w:val="28"/>
        </w:rPr>
        <w:t>.201</w:t>
      </w:r>
      <w:r w:rsidR="00214299">
        <w:rPr>
          <w:rFonts w:ascii="Times New Roman" w:hAnsi="Times New Roman" w:cs="Times New Roman"/>
          <w:sz w:val="28"/>
          <w:szCs w:val="28"/>
        </w:rPr>
        <w:t>6</w:t>
      </w:r>
      <w:r w:rsidRPr="00214299">
        <w:rPr>
          <w:rFonts w:ascii="Times New Roman" w:hAnsi="Times New Roman" w:cs="Times New Roman"/>
          <w:sz w:val="28"/>
          <w:szCs w:val="28"/>
        </w:rPr>
        <w:t xml:space="preserve"> года № 8</w:t>
      </w:r>
      <w:r w:rsidR="00214299">
        <w:rPr>
          <w:rFonts w:ascii="Times New Roman" w:hAnsi="Times New Roman" w:cs="Times New Roman"/>
          <w:sz w:val="28"/>
          <w:szCs w:val="28"/>
        </w:rPr>
        <w:t>5</w:t>
      </w:r>
      <w:r w:rsidRPr="00214299">
        <w:rPr>
          <w:rFonts w:ascii="Times New Roman" w:hAnsi="Times New Roman" w:cs="Times New Roman"/>
          <w:sz w:val="28"/>
          <w:szCs w:val="28"/>
        </w:rPr>
        <w:t xml:space="preserve"> </w:t>
      </w:r>
      <w:r w:rsidR="00214299" w:rsidRPr="00214299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 и опубликования перечня муниципального имущества, находящегося в собственности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="00214299" w:rsidRPr="00214299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</w:t>
      </w:r>
      <w:proofErr w:type="gramStart"/>
      <w:r w:rsidR="00214299" w:rsidRPr="0021429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214299" w:rsidRPr="00214299">
        <w:rPr>
          <w:rFonts w:ascii="Times New Roman" w:hAnsi="Times New Roman" w:cs="Times New Roman"/>
          <w:sz w:val="28"/>
          <w:szCs w:val="28"/>
        </w:rPr>
        <w:t xml:space="preserve"> и условиях предоставления в аренду включенного в указанный перечень имущества»;</w:t>
      </w:r>
    </w:p>
    <w:p w:rsidR="00043086" w:rsidRPr="00043086" w:rsidRDefault="00043086" w:rsidP="0004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086">
        <w:rPr>
          <w:rFonts w:ascii="Times New Roman" w:hAnsi="Times New Roman" w:cs="Times New Roman"/>
          <w:sz w:val="28"/>
          <w:szCs w:val="28"/>
        </w:rPr>
        <w:t xml:space="preserve">- решение Совета депутатов Волховского муниципального района Ленинградской области от </w:t>
      </w:r>
      <w:r w:rsidR="00214299">
        <w:rPr>
          <w:rFonts w:ascii="Times New Roman" w:hAnsi="Times New Roman" w:cs="Times New Roman"/>
          <w:sz w:val="28"/>
          <w:szCs w:val="28"/>
        </w:rPr>
        <w:t>23</w:t>
      </w:r>
      <w:r w:rsidRPr="00043086">
        <w:rPr>
          <w:rFonts w:ascii="Times New Roman" w:hAnsi="Times New Roman" w:cs="Times New Roman"/>
          <w:sz w:val="28"/>
          <w:szCs w:val="28"/>
        </w:rPr>
        <w:t xml:space="preserve">.02.2018 года № </w:t>
      </w:r>
      <w:r w:rsidR="00214299">
        <w:rPr>
          <w:rFonts w:ascii="Times New Roman" w:hAnsi="Times New Roman" w:cs="Times New Roman"/>
          <w:sz w:val="28"/>
          <w:szCs w:val="28"/>
        </w:rPr>
        <w:t>8</w:t>
      </w:r>
      <w:r w:rsidRPr="0004308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Волховского муниципального района Ленинградской области от </w:t>
      </w:r>
      <w:r w:rsidR="00214299">
        <w:rPr>
          <w:rFonts w:ascii="Times New Roman" w:hAnsi="Times New Roman" w:cs="Times New Roman"/>
          <w:sz w:val="28"/>
          <w:szCs w:val="28"/>
        </w:rPr>
        <w:t>01</w:t>
      </w:r>
      <w:r w:rsidRPr="00043086">
        <w:rPr>
          <w:rFonts w:ascii="Times New Roman" w:hAnsi="Times New Roman" w:cs="Times New Roman"/>
          <w:sz w:val="28"/>
          <w:szCs w:val="28"/>
        </w:rPr>
        <w:t>.1</w:t>
      </w:r>
      <w:r w:rsidR="00214299">
        <w:rPr>
          <w:rFonts w:ascii="Times New Roman" w:hAnsi="Times New Roman" w:cs="Times New Roman"/>
          <w:sz w:val="28"/>
          <w:szCs w:val="28"/>
        </w:rPr>
        <w:t>2</w:t>
      </w:r>
      <w:r w:rsidRPr="00043086"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214299">
        <w:rPr>
          <w:rFonts w:ascii="Times New Roman" w:hAnsi="Times New Roman" w:cs="Times New Roman"/>
          <w:sz w:val="28"/>
          <w:szCs w:val="28"/>
        </w:rPr>
        <w:t>85</w:t>
      </w:r>
      <w:r w:rsidRPr="00043086">
        <w:rPr>
          <w:rFonts w:ascii="Times New Roman" w:hAnsi="Times New Roman" w:cs="Times New Roman"/>
          <w:sz w:val="28"/>
          <w:szCs w:val="28"/>
        </w:rPr>
        <w:t xml:space="preserve"> </w:t>
      </w:r>
      <w:r w:rsidR="00214299" w:rsidRPr="00214299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 и опубликования перечня муниципального </w:t>
      </w:r>
      <w:proofErr w:type="gramStart"/>
      <w:r w:rsidR="00214299" w:rsidRPr="00214299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Волховского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</w:t>
      </w:r>
      <w:r w:rsidRPr="000430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1356" w:rsidRPr="00381356" w:rsidRDefault="00043086" w:rsidP="000430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4308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43086" w:rsidRPr="00043086" w:rsidRDefault="00043086" w:rsidP="0038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086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9A052C">
        <w:rPr>
          <w:rFonts w:ascii="Times New Roman" w:hAnsi="Times New Roman" w:cs="Times New Roman"/>
          <w:sz w:val="28"/>
          <w:szCs w:val="28"/>
        </w:rPr>
        <w:t>на следующий день</w:t>
      </w:r>
      <w:r w:rsidRPr="00043086"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</w:t>
      </w:r>
      <w:r w:rsidR="009A052C">
        <w:rPr>
          <w:rFonts w:ascii="Times New Roman" w:hAnsi="Times New Roman" w:cs="Times New Roman"/>
          <w:sz w:val="28"/>
          <w:szCs w:val="28"/>
        </w:rPr>
        <w:t xml:space="preserve"> в сетевом издании «</w:t>
      </w:r>
      <w:proofErr w:type="spellStart"/>
      <w:r w:rsidR="009A052C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="009A052C">
        <w:rPr>
          <w:rFonts w:ascii="Times New Roman" w:hAnsi="Times New Roman" w:cs="Times New Roman"/>
          <w:sz w:val="28"/>
          <w:szCs w:val="28"/>
        </w:rPr>
        <w:t>»</w:t>
      </w:r>
      <w:r w:rsidRPr="00043086">
        <w:rPr>
          <w:rFonts w:ascii="Times New Roman" w:hAnsi="Times New Roman" w:cs="Times New Roman"/>
          <w:sz w:val="28"/>
          <w:szCs w:val="28"/>
        </w:rPr>
        <w:t>.</w:t>
      </w:r>
    </w:p>
    <w:p w:rsidR="009F6009" w:rsidRPr="00043086" w:rsidRDefault="00B2199C" w:rsidP="000430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4308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199C" w:rsidRPr="00C3748A" w:rsidRDefault="00214299" w:rsidP="009F6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199C" w:rsidRPr="00C37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199C" w:rsidRPr="00C3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199C" w:rsidRPr="00C3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B2199C" w:rsidRDefault="00B2199C" w:rsidP="00B21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919" w:rsidRPr="00DD0919" w:rsidRDefault="009A052C" w:rsidP="00DD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DD0919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D0919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919" w:rsidRPr="00DD0919" w:rsidRDefault="00DD0919" w:rsidP="00DD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D0919" w:rsidRPr="00DD0919" w:rsidRDefault="00DD0919" w:rsidP="00DD0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</w:t>
      </w:r>
      <w:r w:rsidR="0046187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052C">
        <w:rPr>
          <w:rFonts w:ascii="Times New Roman" w:hAnsi="Times New Roman" w:cs="Times New Roman"/>
          <w:sz w:val="28"/>
          <w:szCs w:val="28"/>
        </w:rPr>
        <w:t>Кафорин</w:t>
      </w:r>
      <w:proofErr w:type="spellEnd"/>
      <w:r w:rsidR="009A052C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AF6F6B" w:rsidRDefault="00AF6F6B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461872" w:rsidRDefault="00461872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DD0919" w:rsidRDefault="00DD0919">
      <w:pPr>
        <w:pStyle w:val="ConsPlusNormal"/>
        <w:jc w:val="right"/>
      </w:pPr>
    </w:p>
    <w:p w:rsidR="0064000C" w:rsidRPr="007D0450" w:rsidRDefault="00461872" w:rsidP="006400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Утверждено</w:t>
      </w:r>
    </w:p>
    <w:p w:rsidR="0064000C" w:rsidRPr="007D0450" w:rsidRDefault="00461872" w:rsidP="00640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р</w:t>
      </w:r>
      <w:r w:rsidR="0064000C" w:rsidRPr="007D0450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64000C" w:rsidRPr="007D0450" w:rsidRDefault="0064000C" w:rsidP="00640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64000C" w:rsidRPr="007D0450" w:rsidRDefault="0064000C" w:rsidP="00640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 xml:space="preserve">от </w:t>
      </w:r>
      <w:r w:rsidR="009A052C">
        <w:rPr>
          <w:rFonts w:ascii="Times New Roman" w:hAnsi="Times New Roman" w:cs="Times New Roman"/>
          <w:sz w:val="24"/>
          <w:szCs w:val="24"/>
        </w:rPr>
        <w:t>06 мая</w:t>
      </w:r>
      <w:r w:rsidRPr="007D0450">
        <w:rPr>
          <w:rFonts w:ascii="Times New Roman" w:hAnsi="Times New Roman" w:cs="Times New Roman"/>
          <w:sz w:val="24"/>
          <w:szCs w:val="24"/>
        </w:rPr>
        <w:t xml:space="preserve"> 201</w:t>
      </w:r>
      <w:r w:rsidR="00214299">
        <w:rPr>
          <w:rFonts w:ascii="Times New Roman" w:hAnsi="Times New Roman" w:cs="Times New Roman"/>
          <w:sz w:val="24"/>
          <w:szCs w:val="24"/>
        </w:rPr>
        <w:t>9</w:t>
      </w:r>
      <w:r w:rsidRPr="007D045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61872" w:rsidRPr="007D0450">
        <w:rPr>
          <w:rFonts w:ascii="Times New Roman" w:hAnsi="Times New Roman" w:cs="Times New Roman"/>
          <w:sz w:val="24"/>
          <w:szCs w:val="24"/>
        </w:rPr>
        <w:t xml:space="preserve"> </w:t>
      </w:r>
      <w:r w:rsidR="007D0450" w:rsidRPr="007D0450">
        <w:rPr>
          <w:rFonts w:ascii="Times New Roman" w:hAnsi="Times New Roman" w:cs="Times New Roman"/>
          <w:sz w:val="24"/>
          <w:szCs w:val="24"/>
        </w:rPr>
        <w:t xml:space="preserve">№ </w:t>
      </w:r>
      <w:r w:rsidR="009A052C">
        <w:rPr>
          <w:rFonts w:ascii="Times New Roman" w:hAnsi="Times New Roman" w:cs="Times New Roman"/>
          <w:sz w:val="24"/>
          <w:szCs w:val="24"/>
        </w:rPr>
        <w:t>88</w:t>
      </w:r>
    </w:p>
    <w:p w:rsidR="0064000C" w:rsidRPr="007D0450" w:rsidRDefault="0064000C" w:rsidP="00640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000C" w:rsidRPr="007D0450" w:rsidRDefault="00D2766E" w:rsidP="006400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45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14299" w:rsidRDefault="00214299" w:rsidP="0021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20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</w:p>
    <w:p w:rsidR="00214299" w:rsidRPr="003A595E" w:rsidRDefault="00214299" w:rsidP="0021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формирования, ведения, и обязательного опубликования перечня муниципального имущества, находящегося в собственности Волховского муниципального района и свободного от прав </w:t>
      </w:r>
      <w:r w:rsidRPr="003A595E">
        <w:rPr>
          <w:rFonts w:ascii="Times New Roman" w:hAnsi="Times New Roman" w:cs="Times New Roman"/>
          <w:sz w:val="28"/>
          <w:szCs w:val="28"/>
        </w:rPr>
        <w:t>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 среднего предпринимательства в российской Федерации»</w:t>
      </w:r>
      <w:proofErr w:type="gramEnd"/>
    </w:p>
    <w:p w:rsidR="00214299" w:rsidRPr="003A595E" w:rsidRDefault="00214299" w:rsidP="002142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P62"/>
      <w:bookmarkEnd w:id="1"/>
      <w:proofErr w:type="gramStart"/>
      <w:r w:rsidRPr="003A595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формирования, ведения (в том числе дополнения ежегодно до 1 ноября текущего года) и обязательного опубликования перечня муниципального имущества, находящегося в собственности Волховского муниципального района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6" w:history="1">
        <w:r w:rsidRPr="003A595E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(далее соответственно - имущество Волховского муниципального района, Перечень), в целях предоставления имущества Волховского муниципального района во владение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2. В Перечень вносятся сведения об имуществе Волховского муниципального района, соответствующем следующим критериям: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а) имущество Волховского муниципального района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б) имущество Волховского муниципального района не ограничено в обороте;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в) имущество Волховского муниципального района не является объектом религиозного назначения;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г) имущество Волховского муниципального района не является объектом незавершенного строительства;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д) в отношении имущества Волховского муниципального района в установленном действующим законодательством порядке не принято решение о предоставлении его иным лицам;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е) имущество Волховского муниципального района не включено в прогнозный план приватизации имущества, находящегося в собственности Волховского муниципального района;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ж) имущество Волховского муниципального района не признано аварийным и </w:t>
      </w:r>
      <w:r w:rsidRPr="003A595E">
        <w:rPr>
          <w:rFonts w:ascii="Times New Roman" w:hAnsi="Times New Roman" w:cs="Times New Roman"/>
          <w:sz w:val="28"/>
          <w:szCs w:val="28"/>
        </w:rPr>
        <w:lastRenderedPageBreak/>
        <w:t>подлежащим сносу или реконструкции;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9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A595E">
        <w:rPr>
          <w:rFonts w:ascii="Times New Roman" w:hAnsi="Times New Roman" w:cs="Times New Roman"/>
          <w:sz w:val="28"/>
          <w:szCs w:val="28"/>
        </w:rPr>
        <w:t xml:space="preserve">) имущество Волховского муниципального района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подпунктом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 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3. Внесение сведений об имуществе Волховского муниципального района в Перечень (в том числе дополнения ежегодно до 1 ноября текущего года), а также исключение сведений об имуществе Волховского муниципального района из Перечня осуществляются решением Совета депутатов муниципального образования город Волхов Волховского муниципального района.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Вопрос о внесении сведений, изменений или исключении из Перечня рассматривается на основании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муниципальных предприятий и учреждений Волхов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3A595E">
        <w:rPr>
          <w:rFonts w:ascii="Times New Roman" w:hAnsi="Times New Roman" w:cs="Times New Roman"/>
          <w:sz w:val="28"/>
          <w:szCs w:val="28"/>
        </w:rPr>
        <w:t>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- предложения).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5. Рассмотрение предложений осуществляется администрацией Волховского муниципального района (далее - уполномоченный орган) в течение 30 календарных дней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предложения уполномоченным органом принимается одно из следующих решений: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а) о включении сведений об имуществе Волховского муниципального района, в отношении которого поступило предложение, в Перечень с учетом критериев, установленных </w:t>
      </w:r>
      <w:hyperlink w:anchor="P62" w:history="1">
        <w:r w:rsidRPr="003A595E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б) об исключении сведений об имуществе Волховского муниципального района, в отношении которого поступило предложение, из Перечня с учетом положений </w:t>
      </w:r>
      <w:hyperlink w:anchor="P77" w:history="1">
        <w:r w:rsidRPr="003A595E">
          <w:rPr>
            <w:rFonts w:ascii="Times New Roman" w:hAnsi="Times New Roman" w:cs="Times New Roman"/>
            <w:sz w:val="28"/>
            <w:szCs w:val="28"/>
          </w:rPr>
          <w:t>пунктов 7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и 8 настоящего Порядка;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6.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Волховского муниципального района в Перечень или исключения сведений об имуществе Волховского муниципального района из Перечня.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3A595E">
        <w:rPr>
          <w:rFonts w:ascii="Times New Roman" w:hAnsi="Times New Roman" w:cs="Times New Roman"/>
          <w:sz w:val="28"/>
          <w:szCs w:val="28"/>
        </w:rPr>
        <w:t>7. Уполномоченный орган вправе исключить сведения об имуществе Волховского муниципального района из Перечня, если в течение двух лет со дня включения сведений об имуществе Волховского муниципального района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>или) пользования в отношении имущества Волховского муниципального района;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имущества Волховского муниципального района, в отношении которого заключение указанного договора </w:t>
      </w:r>
      <w:r w:rsidRPr="003A595E">
        <w:rPr>
          <w:rFonts w:ascii="Times New Roman" w:hAnsi="Times New Roman" w:cs="Times New Roman"/>
          <w:sz w:val="28"/>
          <w:szCs w:val="28"/>
        </w:rPr>
        <w:lastRenderedPageBreak/>
        <w:t xml:space="preserve">может быть осуществлено без проведения аукциона (конкурса) в случаях, предусмотренных Федеральным </w:t>
      </w:r>
      <w:hyperlink r:id="rId7" w:history="1">
        <w:r w:rsidRPr="003A59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конкуренции».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3A595E">
        <w:rPr>
          <w:rFonts w:ascii="Times New Roman" w:hAnsi="Times New Roman" w:cs="Times New Roman"/>
          <w:sz w:val="28"/>
          <w:szCs w:val="28"/>
        </w:rPr>
        <w:t>8. Уполномоченный орган исключает сведения об имуществе Волховского муниципального района из Перечня в одном из следующих случаев: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а) в отношении имущества Волховского муниципального района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б) право собственности Волховского муниципального района на имущество прекращено по решению суда или в ином установленном законом порядке.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9. Сведения об имуществе Волховского муниципального района вносятся в Перечень в составе и по форме, которые установлены в соответствии с </w:t>
      </w:r>
      <w:hyperlink r:id="rId8" w:history="1">
        <w:r w:rsidRPr="003A595E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10. Перечень и внесенные в него изменения подлежат: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052C" w:rsidRDefault="009A052C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Pr="003A595E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299" w:rsidRPr="003A595E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4299" w:rsidRPr="003A595E" w:rsidRDefault="009A052C" w:rsidP="00214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4299" w:rsidRPr="003A595E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214299" w:rsidRPr="003A595E" w:rsidRDefault="00214299" w:rsidP="00214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214299" w:rsidRPr="003A595E" w:rsidRDefault="00214299" w:rsidP="00214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 xml:space="preserve">от </w:t>
      </w:r>
      <w:r w:rsidR="009A052C">
        <w:rPr>
          <w:rFonts w:ascii="Times New Roman" w:hAnsi="Times New Roman" w:cs="Times New Roman"/>
          <w:sz w:val="24"/>
          <w:szCs w:val="24"/>
        </w:rPr>
        <w:t>06 мая</w:t>
      </w:r>
      <w:r w:rsidRPr="003A595E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9A052C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214299" w:rsidRPr="003A595E" w:rsidRDefault="00214299" w:rsidP="00214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4299" w:rsidRPr="003A595E" w:rsidRDefault="00214299" w:rsidP="00214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14299" w:rsidRPr="003A595E" w:rsidRDefault="00214299" w:rsidP="00214299">
      <w:pPr>
        <w:pStyle w:val="ConsPlusNormal"/>
        <w:jc w:val="center"/>
      </w:pPr>
    </w:p>
    <w:p w:rsidR="00214299" w:rsidRPr="003A595E" w:rsidRDefault="00214299" w:rsidP="00214299">
      <w:pPr>
        <w:pStyle w:val="ConsPlusNormal"/>
        <w:jc w:val="center"/>
      </w:pPr>
    </w:p>
    <w:p w:rsidR="00214299" w:rsidRPr="003A595E" w:rsidRDefault="00214299" w:rsidP="0021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A595E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имущества, включенного в перечень муниципального имущества, находящегося в 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>, образующим инфраструктуру поддержки субъектов малого и среднего предпринимательства</w:t>
      </w:r>
    </w:p>
    <w:p w:rsidR="00214299" w:rsidRPr="003A595E" w:rsidRDefault="00214299" w:rsidP="0021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1. Имущество, включенное в перечень муниципального имущества, находящегося в собственности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9" w:history="1">
        <w:r w:rsidRPr="003A595E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, 3, 3.1, 3.2 и </w:t>
      </w:r>
      <w:hyperlink r:id="rId10" w:history="1">
        <w:r w:rsidRPr="003A595E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135-ФЗ «О защите конкуренции» (далее - Федеральный закон «О защите конкуренции»).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В случае если право владения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или) пользования имуществом, включенным в Перечень, предоставляется на торгах, в единую комиссию по проведению торгов включается (с правом голоса) представитель от координационного или совещательного органа в области развития малого и среднего предпринимательства. В иных случаях для передачи прав владения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>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</w:t>
      </w:r>
      <w:r w:rsidRPr="003A595E">
        <w:rPr>
          <w:rFonts w:ascii="Times New Roman" w:hAnsi="Times New Roman" w:cs="Times New Roman"/>
          <w:sz w:val="28"/>
          <w:szCs w:val="28"/>
        </w:rPr>
        <w:lastRenderedPageBreak/>
        <w:t>бизнеса;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3. Максимальный срок предоставления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</w:t>
      </w:r>
      <w:hyperlink r:id="rId11" w:history="1">
        <w:r w:rsidRPr="003A595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N 67.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E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имущества, включенного в Перечень, без проведения конкурсов или аукционов по основаниям, установленным </w:t>
      </w:r>
      <w:hyperlink r:id="rId12" w:history="1">
        <w:r w:rsidRPr="003A595E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, 3, 3.1, 3.2 и </w:t>
      </w:r>
      <w:hyperlink r:id="rId13" w:history="1">
        <w:r w:rsidRPr="003A595E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конкуренции», осуществляется на основании решения комиссии по вопросам распоряжения муниципальным имуществом при согласии координационного или совещательного органа в области развития малого и среднего предпринимательства.</w:t>
      </w:r>
      <w:proofErr w:type="gramEnd"/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95E">
        <w:rPr>
          <w:rFonts w:ascii="Times New Roman" w:hAnsi="Times New Roman" w:cs="Times New Roman"/>
          <w:sz w:val="28"/>
          <w:szCs w:val="28"/>
        </w:rP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14" w:history="1">
        <w:r w:rsidRPr="003A595E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, 3, 3.1, 3.2 и </w:t>
      </w:r>
      <w:hyperlink r:id="rId15" w:history="1">
        <w:r w:rsidRPr="003A595E">
          <w:rPr>
            <w:rFonts w:ascii="Times New Roman" w:hAnsi="Times New Roman" w:cs="Times New Roman"/>
            <w:sz w:val="28"/>
            <w:szCs w:val="28"/>
          </w:rPr>
          <w:t>9 статьи 17.1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 «О защите конкуренции», уполномоченный орган (организатор торгов), либо муниципальное предприятие или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учреждение Волховского муниципального района (в отношении муниципального имущества Волховского муниципального района, закрепленного за ними на праве хозяйственного ведения или оперативного управления) 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  <w:proofErr w:type="gramEnd"/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5.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муниципальной преференции в соответствии с Федеральным </w:t>
      </w:r>
      <w:hyperlink r:id="rId16" w:history="1">
        <w:r w:rsidRPr="003A59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«О защите конкуренции».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Предоставление таких преференций осуществляется без согласования с антимонопольным органом в соответствии с муниципальными программами (подпрограммами) Волховского муниципального района, содержащими </w:t>
      </w:r>
      <w:r w:rsidRPr="003A595E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 развитие малого и среднего предпринимательства и в соответствии с настоящим Порядком.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Уполномоченный орган, муниципальное предприятие или учреждение Волховского муниципального района в отношении муниципального имущества Волхов</w:t>
      </w:r>
      <w:r w:rsidR="0075565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3A595E">
        <w:rPr>
          <w:rFonts w:ascii="Times New Roman" w:hAnsi="Times New Roman" w:cs="Times New Roman"/>
          <w:sz w:val="28"/>
          <w:szCs w:val="28"/>
        </w:rPr>
        <w:t>, закрепленного за ними на праве хозяйственного ведения или оперативного управления,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или) с нарушением запретов, установленных </w:t>
      </w:r>
      <w:hyperlink r:id="rId17" w:history="1">
        <w:r w:rsidRPr="003A595E">
          <w:rPr>
            <w:rFonts w:ascii="Times New Roman" w:hAnsi="Times New Roman" w:cs="Times New Roman"/>
            <w:sz w:val="28"/>
            <w:szCs w:val="28"/>
          </w:rPr>
          <w:t>частью 4.2 статьи 18</w:t>
        </w:r>
      </w:hyperlink>
      <w:r w:rsidRPr="003A595E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7. Льготы для субъектов малого и среднего предпринимательства, являющихся занимающихся социально значимыми видами деятельности, иными приоритетными видами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 xml:space="preserve"> установленными муниципальными программами (подпрограммами) Волховского муниципального района, устанавливаются решением Совета депутатов муниципального образования Волховского муниципального района.</w:t>
      </w: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299" w:rsidRPr="003A595E" w:rsidRDefault="00214299" w:rsidP="00214299">
      <w:pPr>
        <w:pStyle w:val="ConsPlusNormal"/>
        <w:jc w:val="right"/>
      </w:pPr>
    </w:p>
    <w:p w:rsidR="00214299" w:rsidRPr="003A595E" w:rsidRDefault="00214299" w:rsidP="00214299">
      <w:pPr>
        <w:pStyle w:val="ConsPlusNormal"/>
        <w:jc w:val="right"/>
      </w:pPr>
    </w:p>
    <w:p w:rsidR="00214299" w:rsidRPr="003A595E" w:rsidRDefault="00214299" w:rsidP="00214299">
      <w:pPr>
        <w:pStyle w:val="ConsPlusNormal"/>
        <w:jc w:val="right"/>
      </w:pPr>
    </w:p>
    <w:p w:rsidR="00214299" w:rsidRDefault="00214299" w:rsidP="00214299">
      <w:pPr>
        <w:pStyle w:val="ConsPlusNormal"/>
        <w:jc w:val="right"/>
      </w:pPr>
    </w:p>
    <w:p w:rsidR="00AE4831" w:rsidRPr="003A595E" w:rsidRDefault="00AE4831" w:rsidP="00214299">
      <w:pPr>
        <w:pStyle w:val="ConsPlusNormal"/>
        <w:jc w:val="right"/>
      </w:pPr>
    </w:p>
    <w:p w:rsidR="00214299" w:rsidRPr="003A595E" w:rsidRDefault="00214299" w:rsidP="00214299">
      <w:pPr>
        <w:pStyle w:val="ConsPlusNormal"/>
        <w:jc w:val="right"/>
      </w:pPr>
    </w:p>
    <w:p w:rsidR="00214299" w:rsidRPr="003A595E" w:rsidRDefault="00214299" w:rsidP="00214299">
      <w:pPr>
        <w:pStyle w:val="ConsPlusNormal"/>
        <w:jc w:val="right"/>
      </w:pPr>
    </w:p>
    <w:p w:rsidR="00214299" w:rsidRPr="003A595E" w:rsidRDefault="00214299" w:rsidP="00214299">
      <w:pPr>
        <w:pStyle w:val="ConsPlusNormal"/>
        <w:jc w:val="right"/>
      </w:pPr>
    </w:p>
    <w:p w:rsidR="00214299" w:rsidRPr="003A595E" w:rsidRDefault="00214299" w:rsidP="00214299">
      <w:pPr>
        <w:pStyle w:val="ConsPlusNormal"/>
        <w:jc w:val="right"/>
      </w:pPr>
    </w:p>
    <w:p w:rsidR="00214299" w:rsidRDefault="00214299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9A052C" w:rsidRDefault="009A052C" w:rsidP="00214299">
      <w:pPr>
        <w:pStyle w:val="ConsPlusNormal"/>
        <w:jc w:val="right"/>
      </w:pPr>
    </w:p>
    <w:p w:rsidR="00755653" w:rsidRPr="003A595E" w:rsidRDefault="00755653" w:rsidP="00214299">
      <w:pPr>
        <w:pStyle w:val="ConsPlusNormal"/>
        <w:jc w:val="right"/>
      </w:pPr>
    </w:p>
    <w:p w:rsidR="00214299" w:rsidRPr="003A595E" w:rsidRDefault="00214299" w:rsidP="00214299">
      <w:pPr>
        <w:pStyle w:val="ConsPlusNormal"/>
        <w:jc w:val="right"/>
      </w:pPr>
    </w:p>
    <w:p w:rsidR="00214299" w:rsidRPr="003A595E" w:rsidRDefault="00214299" w:rsidP="00214299">
      <w:pPr>
        <w:pStyle w:val="ConsPlusNormal"/>
        <w:jc w:val="right"/>
      </w:pPr>
    </w:p>
    <w:p w:rsidR="00214299" w:rsidRPr="003A595E" w:rsidRDefault="00214299" w:rsidP="00214299">
      <w:pPr>
        <w:pStyle w:val="ConsPlusNormal"/>
        <w:jc w:val="right"/>
      </w:pPr>
    </w:p>
    <w:p w:rsidR="00214299" w:rsidRPr="003A595E" w:rsidRDefault="00214299" w:rsidP="002142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14299" w:rsidRPr="003A595E" w:rsidRDefault="009A052C" w:rsidP="00214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4299" w:rsidRPr="003A595E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214299" w:rsidRPr="003A595E" w:rsidRDefault="00214299" w:rsidP="00214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214299" w:rsidRPr="003A595E" w:rsidRDefault="00214299" w:rsidP="00214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 xml:space="preserve">от </w:t>
      </w:r>
      <w:r w:rsidR="009A052C">
        <w:rPr>
          <w:rFonts w:ascii="Times New Roman" w:hAnsi="Times New Roman" w:cs="Times New Roman"/>
          <w:sz w:val="24"/>
          <w:szCs w:val="24"/>
        </w:rPr>
        <w:t>06 мая</w:t>
      </w:r>
      <w:r w:rsidRPr="003A595E">
        <w:rPr>
          <w:rFonts w:ascii="Times New Roman" w:hAnsi="Times New Roman" w:cs="Times New Roman"/>
          <w:sz w:val="24"/>
          <w:szCs w:val="24"/>
        </w:rPr>
        <w:t xml:space="preserve"> 2019 года №</w:t>
      </w:r>
      <w:r w:rsidR="009A052C">
        <w:rPr>
          <w:rFonts w:ascii="Times New Roman" w:hAnsi="Times New Roman" w:cs="Times New Roman"/>
          <w:sz w:val="24"/>
          <w:szCs w:val="24"/>
        </w:rPr>
        <w:t xml:space="preserve"> 88</w:t>
      </w:r>
    </w:p>
    <w:p w:rsidR="00214299" w:rsidRPr="003A595E" w:rsidRDefault="00214299" w:rsidP="00214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4299" w:rsidRPr="003A595E" w:rsidRDefault="00214299" w:rsidP="00214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5E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14299" w:rsidRPr="003A595E" w:rsidRDefault="00214299" w:rsidP="00214299">
      <w:pPr>
        <w:pStyle w:val="ConsPlusNormal"/>
      </w:pPr>
    </w:p>
    <w:p w:rsidR="00214299" w:rsidRPr="003A595E" w:rsidRDefault="00214299" w:rsidP="00214299">
      <w:pPr>
        <w:pStyle w:val="ConsPlusNormal"/>
        <w:rPr>
          <w:rFonts w:ascii="Times New Roman" w:hAnsi="Times New Roman" w:cs="Times New Roman"/>
        </w:rPr>
      </w:pPr>
      <w:r w:rsidRPr="003A595E">
        <w:rPr>
          <w:rFonts w:ascii="Times New Roman" w:hAnsi="Times New Roman" w:cs="Times New Roman"/>
        </w:rPr>
        <w:t>(Форма)</w:t>
      </w:r>
    </w:p>
    <w:p w:rsidR="00214299" w:rsidRPr="003A595E" w:rsidRDefault="00214299" w:rsidP="00214299">
      <w:pPr>
        <w:pStyle w:val="ConsPlusNormal"/>
        <w:jc w:val="center"/>
      </w:pPr>
    </w:p>
    <w:p w:rsidR="00214299" w:rsidRPr="003A595E" w:rsidRDefault="00214299" w:rsidP="0021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46"/>
      <w:bookmarkEnd w:id="4"/>
      <w:r w:rsidRPr="003A595E">
        <w:rPr>
          <w:rFonts w:ascii="Times New Roman" w:hAnsi="Times New Roman" w:cs="Times New Roman"/>
          <w:sz w:val="28"/>
          <w:szCs w:val="28"/>
        </w:rPr>
        <w:t>Перечень</w:t>
      </w:r>
    </w:p>
    <w:p w:rsidR="00214299" w:rsidRPr="003A595E" w:rsidRDefault="00214299" w:rsidP="0021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муниципального имущества, находящегося в собственности 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</w:t>
      </w:r>
    </w:p>
    <w:p w:rsidR="00214299" w:rsidRPr="003A595E" w:rsidRDefault="00214299" w:rsidP="0021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 xml:space="preserve">для предоставления во владение </w:t>
      </w:r>
      <w:proofErr w:type="gramStart"/>
      <w:r w:rsidRPr="003A595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A595E">
        <w:rPr>
          <w:rFonts w:ascii="Times New Roman" w:hAnsi="Times New Roman" w:cs="Times New Roman"/>
          <w:sz w:val="28"/>
          <w:szCs w:val="28"/>
        </w:rPr>
        <w:t>или) в пользование</w:t>
      </w:r>
    </w:p>
    <w:p w:rsidR="00214299" w:rsidRPr="003A595E" w:rsidRDefault="00214299" w:rsidP="0021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</w:t>
      </w:r>
    </w:p>
    <w:p w:rsidR="00214299" w:rsidRPr="003A595E" w:rsidRDefault="00214299" w:rsidP="0021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</w:t>
      </w:r>
    </w:p>
    <w:p w:rsidR="00214299" w:rsidRPr="003A595E" w:rsidRDefault="00214299" w:rsidP="0021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</w:t>
      </w:r>
    </w:p>
    <w:p w:rsidR="00214299" w:rsidRPr="003A595E" w:rsidRDefault="00214299" w:rsidP="00214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214299" w:rsidRPr="003A595E" w:rsidRDefault="00214299" w:rsidP="002142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4299" w:rsidRPr="003A595E" w:rsidRDefault="00214299" w:rsidP="002142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Наименование публично-правового образования: _______________</w:t>
      </w:r>
    </w:p>
    <w:p w:rsidR="00214299" w:rsidRPr="003A595E" w:rsidRDefault="00214299" w:rsidP="0021429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A595E">
        <w:rPr>
          <w:rFonts w:ascii="Times New Roman" w:hAnsi="Times New Roman" w:cs="Times New Roman"/>
          <w:sz w:val="28"/>
          <w:szCs w:val="28"/>
        </w:rPr>
        <w:t>Данные об органе исполнительной власти, наделенном полномочиями по управлению соответствующим имуществом:</w:t>
      </w:r>
    </w:p>
    <w:p w:rsidR="00214299" w:rsidRPr="003A595E" w:rsidRDefault="00214299" w:rsidP="002142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3969"/>
      </w:tblGrid>
      <w:tr w:rsidR="00214299" w:rsidRPr="003A595E" w:rsidTr="00F54096">
        <w:tc>
          <w:tcPr>
            <w:tcW w:w="5046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99" w:rsidRPr="003A595E" w:rsidTr="00F54096">
        <w:tc>
          <w:tcPr>
            <w:tcW w:w="5046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99" w:rsidRPr="003A595E" w:rsidTr="00F54096">
        <w:tc>
          <w:tcPr>
            <w:tcW w:w="5046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99" w:rsidRPr="003A595E" w:rsidTr="00F54096">
        <w:tc>
          <w:tcPr>
            <w:tcW w:w="5046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исполнителя</w:t>
            </w:r>
          </w:p>
        </w:tc>
        <w:tc>
          <w:tcPr>
            <w:tcW w:w="3969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99" w:rsidRPr="003A595E" w:rsidTr="00F54096">
        <w:tc>
          <w:tcPr>
            <w:tcW w:w="5046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3969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99" w:rsidRPr="003A595E" w:rsidTr="00F54096">
        <w:tc>
          <w:tcPr>
            <w:tcW w:w="5046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299" w:rsidRPr="003A595E" w:rsidTr="00F54096">
        <w:tc>
          <w:tcPr>
            <w:tcW w:w="5046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95E">
              <w:rPr>
                <w:rFonts w:ascii="Times New Roman" w:hAnsi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214299" w:rsidRPr="003A595E" w:rsidRDefault="00214299" w:rsidP="00F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299" w:rsidRDefault="00214299" w:rsidP="00214299">
      <w:pPr>
        <w:sectPr w:rsidR="00214299" w:rsidSect="009A052C">
          <w:pgSz w:w="11906" w:h="16838"/>
          <w:pgMar w:top="510" w:right="510" w:bottom="510" w:left="1418" w:header="709" w:footer="709" w:gutter="0"/>
          <w:cols w:space="708"/>
          <w:docGrid w:linePitch="360"/>
        </w:sectPr>
      </w:pPr>
    </w:p>
    <w:p w:rsidR="00214299" w:rsidRDefault="00214299" w:rsidP="002142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214299" w:rsidRPr="00741C9F" w:rsidTr="00F54096">
        <w:tc>
          <w:tcPr>
            <w:tcW w:w="454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в реестре имущества </w:t>
            </w:r>
            <w:hyperlink w:anchor="P280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8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Структурированный адрес объекта</w:t>
            </w:r>
          </w:p>
        </w:tc>
      </w:tr>
      <w:tr w:rsidR="00214299" w:rsidRPr="00741C9F" w:rsidTr="00F54096">
        <w:tc>
          <w:tcPr>
            <w:tcW w:w="454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субъекта Российской Федерации </w:t>
            </w:r>
          </w:p>
        </w:tc>
        <w:tc>
          <w:tcPr>
            <w:tcW w:w="130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0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населенного пункта</w:t>
            </w:r>
          </w:p>
        </w:tc>
        <w:tc>
          <w:tcPr>
            <w:tcW w:w="90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79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планировочной структуры</w:t>
            </w:r>
          </w:p>
        </w:tc>
        <w:tc>
          <w:tcPr>
            <w:tcW w:w="130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24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дома (включая литеру) </w:t>
            </w:r>
            <w:hyperlink w:anchor="P28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79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и номер корпуса, строения, владения </w:t>
            </w:r>
            <w:hyperlink w:anchor="P28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214299" w:rsidRPr="00741C9F" w:rsidTr="00F54096">
        <w:tc>
          <w:tcPr>
            <w:tcW w:w="45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14299" w:rsidRDefault="00214299" w:rsidP="002142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214299" w:rsidRPr="00741C9F" w:rsidTr="00F54096">
        <w:tc>
          <w:tcPr>
            <w:tcW w:w="1708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недвижимости; движимое имущество </w:t>
            </w:r>
            <w:hyperlink w:anchor="P28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Сведения о недвижимом имуществе или его части</w:t>
            </w:r>
          </w:p>
        </w:tc>
      </w:tr>
      <w:tr w:rsidR="00214299" w:rsidRPr="00741C9F" w:rsidTr="00F54096">
        <w:tc>
          <w:tcPr>
            <w:tcW w:w="1708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hyperlink w:anchor="P286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287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характеристика объекта недвижимости </w:t>
            </w:r>
            <w:hyperlink w:anchor="P288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учета </w:t>
            </w:r>
            <w:hyperlink w:anchor="P291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  <w:tr w:rsidR="00214299" w:rsidRPr="00741C9F" w:rsidTr="00F54096">
        <w:trPr>
          <w:trHeight w:val="537"/>
        </w:trPr>
        <w:tc>
          <w:tcPr>
            <w:tcW w:w="1708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</w:t>
            </w: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28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36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</w:tr>
      <w:tr w:rsidR="00214299" w:rsidRPr="00741C9F" w:rsidTr="00F54096">
        <w:tc>
          <w:tcPr>
            <w:tcW w:w="1708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576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2324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</w:tr>
      <w:tr w:rsidR="00214299" w:rsidRPr="00741C9F" w:rsidTr="00F54096">
        <w:tc>
          <w:tcPr>
            <w:tcW w:w="1708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6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6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8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8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14299" w:rsidRDefault="00214299" w:rsidP="002142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214299" w:rsidRPr="00741C9F" w:rsidTr="00F54096">
        <w:tc>
          <w:tcPr>
            <w:tcW w:w="6727" w:type="dxa"/>
            <w:gridSpan w:val="6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  <w:hyperlink w:anchor="P292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праве аренды или безвозмездного пользования имуществом </w:t>
            </w:r>
            <w:hyperlink w:anchor="P293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  <w:tr w:rsidR="00214299" w:rsidRPr="00741C9F" w:rsidTr="00F54096">
        <w:tc>
          <w:tcPr>
            <w:tcW w:w="6727" w:type="dxa"/>
            <w:gridSpan w:val="6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4105" w:type="dxa"/>
            <w:gridSpan w:val="5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214299" w:rsidRPr="00741C9F" w:rsidTr="00F54096">
        <w:tc>
          <w:tcPr>
            <w:tcW w:w="1871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604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701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) котором расположен объект</w:t>
            </w:r>
          </w:p>
        </w:tc>
        <w:tc>
          <w:tcPr>
            <w:tcW w:w="2411" w:type="dxa"/>
            <w:gridSpan w:val="3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правообладатель</w:t>
            </w:r>
          </w:p>
        </w:tc>
        <w:tc>
          <w:tcPr>
            <w:tcW w:w="1694" w:type="dxa"/>
            <w:gridSpan w:val="2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документы, основание</w:t>
            </w:r>
          </w:p>
        </w:tc>
      </w:tr>
      <w:tr w:rsidR="00214299" w:rsidRPr="00741C9F" w:rsidTr="00F54096">
        <w:tc>
          <w:tcPr>
            <w:tcW w:w="1871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82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  <w:tc>
          <w:tcPr>
            <w:tcW w:w="90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4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8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4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85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договора</w:t>
            </w:r>
          </w:p>
        </w:tc>
      </w:tr>
      <w:tr w:rsidR="00214299" w:rsidRPr="00741C9F" w:rsidTr="00F54096">
        <w:tc>
          <w:tcPr>
            <w:tcW w:w="1871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214299" w:rsidRDefault="00214299" w:rsidP="00214299">
      <w:pPr>
        <w:sectPr w:rsidR="0021429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4299" w:rsidRDefault="00214299" w:rsidP="00214299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2438"/>
        <w:gridCol w:w="1247"/>
        <w:gridCol w:w="1531"/>
        <w:gridCol w:w="2211"/>
      </w:tblGrid>
      <w:tr w:rsidR="00214299" w:rsidRPr="00741C9F" w:rsidTr="00F54096">
        <w:trPr>
          <w:jc w:val="center"/>
        </w:trPr>
        <w:tc>
          <w:tcPr>
            <w:tcW w:w="1587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одно из значений: в перечне, изменениях в перечни </w:t>
            </w:r>
            <w:hyperlink w:anchor="P294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95" w:history="1">
              <w:r w:rsidRPr="00741C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&lt;14&gt;</w:t>
              </w:r>
            </w:hyperlink>
          </w:p>
        </w:tc>
      </w:tr>
      <w:tr w:rsidR="00214299" w:rsidRPr="00741C9F" w:rsidTr="00F54096">
        <w:trPr>
          <w:jc w:val="center"/>
        </w:trPr>
        <w:tc>
          <w:tcPr>
            <w:tcW w:w="1587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742" w:type="dxa"/>
            <w:gridSpan w:val="2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214299" w:rsidRPr="00741C9F" w:rsidTr="00F54096">
        <w:trPr>
          <w:jc w:val="center"/>
        </w:trPr>
        <w:tc>
          <w:tcPr>
            <w:tcW w:w="1587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14299" w:rsidRPr="00741C9F" w:rsidRDefault="00214299" w:rsidP="00F540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11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14299" w:rsidRPr="00741C9F" w:rsidTr="00F54096">
        <w:trPr>
          <w:jc w:val="center"/>
        </w:trPr>
        <w:tc>
          <w:tcPr>
            <w:tcW w:w="158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1" w:type="dxa"/>
          </w:tcPr>
          <w:p w:rsidR="00214299" w:rsidRPr="00741C9F" w:rsidRDefault="00214299" w:rsidP="00F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C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214299" w:rsidRDefault="00214299" w:rsidP="00214299">
      <w:pPr>
        <w:pStyle w:val="ConsPlusNormal"/>
        <w:ind w:firstLine="540"/>
        <w:jc w:val="both"/>
      </w:pP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0"/>
      <w:bookmarkEnd w:id="5"/>
      <w:r w:rsidRPr="00741C9F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уникальный номер объекта в реестре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1"/>
      <w:bookmarkEnd w:id="6"/>
      <w:r w:rsidRPr="00741C9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41C9F">
        <w:rPr>
          <w:rFonts w:ascii="Times New Roman" w:hAnsi="Times New Roman" w:cs="Times New Roman"/>
          <w:sz w:val="24"/>
          <w:szCs w:val="24"/>
        </w:rPr>
        <w:t xml:space="preserve"> власти, осуществляющего полномочия собственника такого объекта).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82"/>
      <w:bookmarkEnd w:id="7"/>
      <w:r w:rsidRPr="00741C9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казывается полное 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41C9F">
        <w:rPr>
          <w:rFonts w:ascii="Times New Roman" w:hAnsi="Times New Roman" w:cs="Times New Roman"/>
          <w:sz w:val="24"/>
          <w:szCs w:val="24"/>
        </w:rPr>
        <w:t>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83"/>
      <w:bookmarkEnd w:id="8"/>
      <w:r w:rsidRPr="00741C9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84"/>
      <w:bookmarkEnd w:id="9"/>
      <w:r w:rsidRPr="00741C9F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 w:rsidRPr="00741C9F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6"/>
      <w:bookmarkEnd w:id="11"/>
      <w:r w:rsidRPr="00741C9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87"/>
      <w:bookmarkEnd w:id="12"/>
      <w:r w:rsidRPr="00741C9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88"/>
      <w:bookmarkEnd w:id="13"/>
      <w:r w:rsidRPr="00741C9F">
        <w:rPr>
          <w:rFonts w:ascii="Times New Roman" w:hAnsi="Times New Roman" w:cs="Times New Roman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1C9F">
        <w:rPr>
          <w:rFonts w:ascii="Times New Roman" w:hAnsi="Times New Roman" w:cs="Times New Roman"/>
          <w:sz w:val="24"/>
          <w:szCs w:val="24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2FD9">
        <w:rPr>
          <w:rFonts w:ascii="Times New Roman" w:hAnsi="Times New Roman" w:cs="Times New Roman"/>
          <w:sz w:val="24"/>
          <w:szCs w:val="24"/>
        </w:rPr>
        <w:t>Для объекта незавершенного строительства указываются общая площадь застройки в</w:t>
      </w:r>
      <w:r w:rsidRPr="00741C9F">
        <w:rPr>
          <w:rFonts w:ascii="Times New Roman" w:hAnsi="Times New Roman" w:cs="Times New Roman"/>
          <w:sz w:val="24"/>
          <w:szCs w:val="24"/>
        </w:rPr>
        <w:t xml:space="preserve">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91"/>
      <w:bookmarkEnd w:id="14"/>
      <w:r w:rsidRPr="00741C9F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92"/>
      <w:bookmarkEnd w:id="15"/>
      <w:r w:rsidRPr="00741C9F">
        <w:rPr>
          <w:rFonts w:ascii="Times New Roman" w:hAnsi="Times New Roman" w:cs="Times New Roman"/>
          <w:sz w:val="24"/>
          <w:szCs w:val="24"/>
        </w:rPr>
        <w:t>&lt;11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казываются характеристики движимого имущества (при наличии).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93"/>
      <w:bookmarkEnd w:id="16"/>
      <w:r w:rsidRPr="00741C9F">
        <w:rPr>
          <w:rFonts w:ascii="Times New Roman" w:hAnsi="Times New Roman" w:cs="Times New Roman"/>
          <w:sz w:val="24"/>
          <w:szCs w:val="24"/>
        </w:rP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</w:t>
      </w:r>
      <w:r w:rsidRPr="00741C9F">
        <w:rPr>
          <w:rFonts w:ascii="Times New Roman" w:hAnsi="Times New Roman" w:cs="Times New Roman"/>
          <w:sz w:val="24"/>
          <w:szCs w:val="24"/>
        </w:rPr>
        <w:lastRenderedPageBreak/>
        <w:t xml:space="preserve">налогоплательщика (ИНН) и о договоре, на основании которого субъекту малого и среднего предпринимательства 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>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94"/>
      <w:bookmarkEnd w:id="17"/>
      <w:r w:rsidRPr="00741C9F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казываются сведения о наличии объекта имущества в утвержденном перечне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указанном в </w:t>
      </w:r>
      <w:hyperlink r:id="rId18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037581">
        <w:rPr>
          <w:rFonts w:ascii="Times New Roman" w:hAnsi="Times New Roman" w:cs="Times New Roman"/>
          <w:sz w:val="24"/>
          <w:szCs w:val="24"/>
        </w:rPr>
        <w:t xml:space="preserve"> </w:t>
      </w:r>
      <w:r w:rsidRPr="00741C9F">
        <w:rPr>
          <w:rFonts w:ascii="Times New Roman" w:hAnsi="Times New Roman" w:cs="Times New Roman"/>
          <w:sz w:val="24"/>
          <w:szCs w:val="24"/>
        </w:rPr>
        <w:t xml:space="preserve">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либо в утвержденных изменениях, внесенных в такой перечень.</w:t>
      </w:r>
    </w:p>
    <w:p w:rsidR="00214299" w:rsidRPr="00741C9F" w:rsidRDefault="00214299" w:rsidP="0021429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95"/>
      <w:bookmarkEnd w:id="18"/>
      <w:r w:rsidRPr="00741C9F">
        <w:rPr>
          <w:rFonts w:ascii="Times New Roman" w:hAnsi="Times New Roman" w:cs="Times New Roman"/>
          <w:sz w:val="24"/>
          <w:szCs w:val="24"/>
        </w:rPr>
        <w:t>&lt;14</w:t>
      </w:r>
      <w:proofErr w:type="gramStart"/>
      <w:r w:rsidRPr="00741C9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741C9F">
        <w:rPr>
          <w:rFonts w:ascii="Times New Roman" w:hAnsi="Times New Roman" w:cs="Times New Roman"/>
          <w:sz w:val="24"/>
          <w:szCs w:val="24"/>
        </w:rPr>
        <w:t xml:space="preserve">казываются реквизиты нормативного правового акта, которым утвержден перечень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741C9F">
        <w:rPr>
          <w:rFonts w:ascii="Times New Roman" w:hAnsi="Times New Roman" w:cs="Times New Roman"/>
          <w:sz w:val="24"/>
          <w:szCs w:val="24"/>
        </w:rPr>
        <w:t xml:space="preserve"> имущества, указанный </w:t>
      </w:r>
      <w:r w:rsidRPr="0003758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037581">
          <w:rPr>
            <w:rFonts w:ascii="Times New Roman" w:hAnsi="Times New Roman" w:cs="Times New Roman"/>
            <w:sz w:val="24"/>
            <w:szCs w:val="24"/>
          </w:rPr>
          <w:t>части 4 статьи 18</w:t>
        </w:r>
      </w:hyperlink>
      <w:r w:rsidRPr="00741C9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41C9F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1C9F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41C9F">
        <w:rPr>
          <w:rFonts w:ascii="Times New Roman" w:hAnsi="Times New Roman" w:cs="Times New Roman"/>
          <w:sz w:val="24"/>
          <w:szCs w:val="24"/>
        </w:rPr>
        <w:t>, или изменения, вносимые в такой перечень.</w:t>
      </w:r>
    </w:p>
    <w:p w:rsidR="00214299" w:rsidRDefault="00214299" w:rsidP="00214299"/>
    <w:p w:rsidR="00214299" w:rsidRDefault="00214299" w:rsidP="00214299">
      <w:pPr>
        <w:rPr>
          <w:sz w:val="28"/>
          <w:szCs w:val="28"/>
        </w:rPr>
      </w:pPr>
    </w:p>
    <w:p w:rsidR="00214299" w:rsidRDefault="00214299" w:rsidP="00214299"/>
    <w:p w:rsidR="00E87993" w:rsidRDefault="00E87993" w:rsidP="00214299">
      <w:pPr>
        <w:pStyle w:val="ConsPlusNormal"/>
        <w:jc w:val="center"/>
      </w:pPr>
    </w:p>
    <w:sectPr w:rsidR="00E87993" w:rsidSect="0021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F6B"/>
    <w:rsid w:val="00016EBA"/>
    <w:rsid w:val="00037581"/>
    <w:rsid w:val="00043086"/>
    <w:rsid w:val="000F04DF"/>
    <w:rsid w:val="00114D4A"/>
    <w:rsid w:val="00146D8D"/>
    <w:rsid w:val="001A19F4"/>
    <w:rsid w:val="00214299"/>
    <w:rsid w:val="002E3F42"/>
    <w:rsid w:val="00381356"/>
    <w:rsid w:val="003C0E56"/>
    <w:rsid w:val="00460257"/>
    <w:rsid w:val="00461872"/>
    <w:rsid w:val="004B4598"/>
    <w:rsid w:val="0064000C"/>
    <w:rsid w:val="00643E25"/>
    <w:rsid w:val="00646CEC"/>
    <w:rsid w:val="006C2C09"/>
    <w:rsid w:val="00741C9F"/>
    <w:rsid w:val="00755653"/>
    <w:rsid w:val="00787ADD"/>
    <w:rsid w:val="007B46F3"/>
    <w:rsid w:val="007D0450"/>
    <w:rsid w:val="00824AD8"/>
    <w:rsid w:val="00880E36"/>
    <w:rsid w:val="00936655"/>
    <w:rsid w:val="009A052C"/>
    <w:rsid w:val="009C6B29"/>
    <w:rsid w:val="009E4864"/>
    <w:rsid w:val="009F6009"/>
    <w:rsid w:val="00AD4BE6"/>
    <w:rsid w:val="00AE4831"/>
    <w:rsid w:val="00AF6F6B"/>
    <w:rsid w:val="00B1680A"/>
    <w:rsid w:val="00B2199C"/>
    <w:rsid w:val="00B3109A"/>
    <w:rsid w:val="00B937AA"/>
    <w:rsid w:val="00B955C5"/>
    <w:rsid w:val="00BF1D4F"/>
    <w:rsid w:val="00C900F5"/>
    <w:rsid w:val="00D120F6"/>
    <w:rsid w:val="00D2766E"/>
    <w:rsid w:val="00D337F2"/>
    <w:rsid w:val="00D64661"/>
    <w:rsid w:val="00DD0919"/>
    <w:rsid w:val="00DE20F4"/>
    <w:rsid w:val="00E4299E"/>
    <w:rsid w:val="00E87993"/>
    <w:rsid w:val="00F91FD8"/>
    <w:rsid w:val="00FE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9C"/>
  </w:style>
  <w:style w:type="paragraph" w:styleId="1">
    <w:name w:val="heading 1"/>
    <w:basedOn w:val="a"/>
    <w:next w:val="a"/>
    <w:link w:val="10"/>
    <w:qFormat/>
    <w:rsid w:val="00B219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19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219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219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9C"/>
  </w:style>
  <w:style w:type="paragraph" w:styleId="1">
    <w:name w:val="heading 1"/>
    <w:basedOn w:val="a"/>
    <w:next w:val="a"/>
    <w:link w:val="10"/>
    <w:qFormat/>
    <w:rsid w:val="00B219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6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6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19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219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B219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219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EC9F88F27E19A3C9C594C768FAE9C64408A20E2E5B2E2221678EC140B4115CDED71EA911ADAB1p7UEP" TargetMode="External"/><Relationship Id="rId13" Type="http://schemas.openxmlformats.org/officeDocument/2006/relationships/hyperlink" Target="consultantplus://offline/ref=18CEC9F88F27E19A3C9C594C768FAE9C64418A2EE1E7B2E2221678EC140B4115CDED71E899p1UAP" TargetMode="External"/><Relationship Id="rId18" Type="http://schemas.openxmlformats.org/officeDocument/2006/relationships/hyperlink" Target="consultantplus://offline/ref=18CEC9F88F27E19A3C9C594C768FAE9C64408A20E2E5B2E2221678EC140B4115CDED71EA911ADAB1p7UF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8CEC9F88F27E19A3C9C594C768FAE9C64418A2EE1E7B2E2221678EC14p0UBP" TargetMode="External"/><Relationship Id="rId12" Type="http://schemas.openxmlformats.org/officeDocument/2006/relationships/hyperlink" Target="consultantplus://offline/ref=18CEC9F88F27E19A3C9C594C768FAE9C64418A2EE1E7B2E2221678EC140B4115CDED71EA911ADFB5p7U9P" TargetMode="External"/><Relationship Id="rId17" Type="http://schemas.openxmlformats.org/officeDocument/2006/relationships/hyperlink" Target="consultantplus://offline/ref=18CEC9F88F27E19A3C9C594C768FAE9C64408A20E2E5B2E2221678EC140B4115CDED71EA911ADBB6p7UC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CEC9F88F27E19A3C9C594C768FAE9C64418A2EE1E7B2E2221678EC14p0UB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CEC9F88F27E19A3C9C594C768FAE9C64408A20E2E5B2E2221678EC140B4115CDED71EA911ADAB1p7UFP" TargetMode="External"/><Relationship Id="rId11" Type="http://schemas.openxmlformats.org/officeDocument/2006/relationships/hyperlink" Target="consultantplus://offline/ref=18CEC9F88F27E19A3C9C594C768FAE9C67448325E8E1B2E2221678EC140B4115CDED71pEUFP" TargetMode="External"/><Relationship Id="rId5" Type="http://schemas.openxmlformats.org/officeDocument/2006/relationships/hyperlink" Target="consultantplus://offline/ref=A328A0B79CF962E727EA5A37E63B48C4CD207625CFB503564DCF3FD0DC3235D6CB3460848B8D658CbCuEK" TargetMode="External"/><Relationship Id="rId15" Type="http://schemas.openxmlformats.org/officeDocument/2006/relationships/hyperlink" Target="consultantplus://offline/ref=18CEC9F88F27E19A3C9C594C768FAE9C64418A2EE1E7B2E2221678EC140B4115CDED71E899p1UAP" TargetMode="External"/><Relationship Id="rId10" Type="http://schemas.openxmlformats.org/officeDocument/2006/relationships/hyperlink" Target="consultantplus://offline/ref=18CEC9F88F27E19A3C9C594C768FAE9C64418A2EE1E7B2E2221678EC140B4115CDED71E899p1UAP" TargetMode="External"/><Relationship Id="rId19" Type="http://schemas.openxmlformats.org/officeDocument/2006/relationships/hyperlink" Target="consultantplus://offline/ref=18CEC9F88F27E19A3C9C594C768FAE9C64408A20E2E5B2E2221678EC140B4115CDED71EA911ADAB1p7UF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8CEC9F88F27E19A3C9C594C768FAE9C64418A2EE1E7B2E2221678EC140B4115CDED71EA911ADFB5p7U9P" TargetMode="External"/><Relationship Id="rId14" Type="http://schemas.openxmlformats.org/officeDocument/2006/relationships/hyperlink" Target="consultantplus://offline/ref=18CEC9F88F27E19A3C9C594C768FAE9C64418A2EE1E7B2E2221678EC140B4115CDED71EA911ADFB5p7U9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Совет1</cp:lastModifiedBy>
  <cp:revision>4</cp:revision>
  <cp:lastPrinted>2019-03-01T13:25:00Z</cp:lastPrinted>
  <dcterms:created xsi:type="dcterms:W3CDTF">2019-04-30T08:34:00Z</dcterms:created>
  <dcterms:modified xsi:type="dcterms:W3CDTF">2019-05-07T07:55:00Z</dcterms:modified>
</cp:coreProperties>
</file>